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ED" w:rsidRPr="009667ED" w:rsidRDefault="009667ED" w:rsidP="00DE3072">
      <w:pPr>
        <w:pStyle w:val="Default"/>
        <w:rPr>
          <w:rFonts w:ascii="Arial" w:hAnsi="Arial" w:cs="Arial"/>
          <w:b/>
          <w:color w:val="FF0000"/>
          <w:sz w:val="36"/>
          <w:szCs w:val="36"/>
        </w:rPr>
      </w:pPr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ECM </w:t>
      </w:r>
      <w:proofErr w:type="spellStart"/>
      <w:r w:rsidRPr="009667ED">
        <w:rPr>
          <w:rFonts w:ascii="Arial" w:hAnsi="Arial" w:cs="Arial"/>
          <w:b/>
          <w:color w:val="FF0000"/>
          <w:sz w:val="36"/>
          <w:szCs w:val="36"/>
        </w:rPr>
        <w:t>Benchmarking</w:t>
      </w:r>
      <w:proofErr w:type="spellEnd"/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 Report 201</w:t>
      </w:r>
      <w:r w:rsidR="005D5F65">
        <w:rPr>
          <w:rFonts w:ascii="Arial" w:hAnsi="Arial" w:cs="Arial"/>
          <w:b/>
          <w:color w:val="FF0000"/>
          <w:sz w:val="36"/>
          <w:szCs w:val="36"/>
        </w:rPr>
        <w:t>4-2015</w:t>
      </w:r>
    </w:p>
    <w:p w:rsidR="009667ED" w:rsidRDefault="009667ED" w:rsidP="00DE3072">
      <w:pPr>
        <w:pStyle w:val="Default"/>
        <w:rPr>
          <w:rFonts w:ascii="Arial" w:hAnsi="Arial" w:cs="Arial"/>
          <w:b/>
          <w:sz w:val="22"/>
          <w:szCs w:val="22"/>
        </w:rPr>
      </w:pPr>
    </w:p>
    <w:p w:rsidR="00DE3072" w:rsidRPr="00557F58" w:rsidRDefault="00557F58" w:rsidP="00DE3072">
      <w:pPr>
        <w:pStyle w:val="Default"/>
        <w:rPr>
          <w:rFonts w:ascii="Arial" w:hAnsi="Arial" w:cs="Arial"/>
          <w:b/>
          <w:sz w:val="22"/>
          <w:szCs w:val="22"/>
        </w:rPr>
      </w:pPr>
      <w:r w:rsidRPr="00557F58">
        <w:rPr>
          <w:rFonts w:ascii="Arial" w:hAnsi="Arial" w:cs="Arial"/>
          <w:b/>
          <w:sz w:val="22"/>
          <w:szCs w:val="22"/>
        </w:rPr>
        <w:t>1</w:t>
      </w:r>
      <w:r w:rsidR="00D228A3">
        <w:rPr>
          <w:rFonts w:ascii="Arial" w:hAnsi="Arial" w:cs="Arial"/>
          <w:b/>
          <w:sz w:val="22"/>
          <w:szCs w:val="22"/>
        </w:rPr>
        <w:t>1</w:t>
      </w:r>
      <w:r w:rsidRPr="00557F58">
        <w:rPr>
          <w:rFonts w:ascii="Arial" w:hAnsi="Arial" w:cs="Arial"/>
          <w:b/>
          <w:sz w:val="22"/>
          <w:szCs w:val="22"/>
        </w:rPr>
        <w:t xml:space="preserve">. vydání </w:t>
      </w:r>
      <w:r w:rsidR="00DE3072" w:rsidRPr="00557F58">
        <w:rPr>
          <w:rFonts w:ascii="Arial" w:hAnsi="Arial" w:cs="Arial"/>
          <w:b/>
          <w:sz w:val="22"/>
          <w:szCs w:val="22"/>
        </w:rPr>
        <w:t xml:space="preserve">ECM </w:t>
      </w:r>
      <w:proofErr w:type="spellStart"/>
      <w:r w:rsidR="00DE3072" w:rsidRPr="00557F58">
        <w:rPr>
          <w:rFonts w:ascii="Arial" w:hAnsi="Arial" w:cs="Arial"/>
          <w:b/>
          <w:sz w:val="22"/>
          <w:szCs w:val="22"/>
        </w:rPr>
        <w:t>Benchmarking</w:t>
      </w:r>
      <w:proofErr w:type="spellEnd"/>
      <w:r w:rsidR="00DE3072" w:rsidRPr="00557F58">
        <w:rPr>
          <w:rFonts w:ascii="Arial" w:hAnsi="Arial" w:cs="Arial"/>
          <w:b/>
          <w:sz w:val="22"/>
          <w:szCs w:val="22"/>
        </w:rPr>
        <w:t xml:space="preserve"> Report</w:t>
      </w:r>
      <w:r w:rsidRPr="00557F58">
        <w:rPr>
          <w:rFonts w:ascii="Arial" w:hAnsi="Arial" w:cs="Arial"/>
          <w:b/>
          <w:sz w:val="22"/>
          <w:szCs w:val="22"/>
        </w:rPr>
        <w:t xml:space="preserve"> zahrnuje statistiky městského turismu </w:t>
      </w:r>
      <w:r w:rsidR="005D5F65">
        <w:rPr>
          <w:rFonts w:ascii="Arial" w:hAnsi="Arial" w:cs="Arial"/>
          <w:b/>
          <w:sz w:val="22"/>
          <w:szCs w:val="22"/>
        </w:rPr>
        <w:br/>
      </w:r>
      <w:r w:rsidRPr="00557F58">
        <w:rPr>
          <w:rFonts w:ascii="Arial" w:hAnsi="Arial" w:cs="Arial"/>
          <w:b/>
          <w:sz w:val="22"/>
          <w:szCs w:val="22"/>
        </w:rPr>
        <w:t>11</w:t>
      </w:r>
      <w:r w:rsidR="005D5F65">
        <w:rPr>
          <w:rFonts w:ascii="Arial" w:hAnsi="Arial" w:cs="Arial"/>
          <w:b/>
          <w:sz w:val="22"/>
          <w:szCs w:val="22"/>
        </w:rPr>
        <w:t>9</w:t>
      </w:r>
      <w:r w:rsidRPr="00557F58">
        <w:rPr>
          <w:rFonts w:ascii="Arial" w:hAnsi="Arial" w:cs="Arial"/>
          <w:b/>
          <w:sz w:val="22"/>
          <w:szCs w:val="22"/>
        </w:rPr>
        <w:t xml:space="preserve"> evropských měst za rok 201</w:t>
      </w:r>
      <w:r w:rsidR="00D228A3">
        <w:rPr>
          <w:rFonts w:ascii="Arial" w:hAnsi="Arial" w:cs="Arial"/>
          <w:b/>
          <w:sz w:val="22"/>
          <w:szCs w:val="22"/>
        </w:rPr>
        <w:t>4</w:t>
      </w:r>
      <w:r w:rsidR="00DE3072" w:rsidRPr="00557F58">
        <w:rPr>
          <w:rFonts w:ascii="Arial" w:hAnsi="Arial" w:cs="Arial"/>
          <w:b/>
          <w:sz w:val="22"/>
          <w:szCs w:val="22"/>
        </w:rPr>
        <w:t>.</w:t>
      </w:r>
    </w:p>
    <w:p w:rsidR="00DE3072" w:rsidRPr="00557F58" w:rsidRDefault="00DE3072" w:rsidP="00DE3072">
      <w:pPr>
        <w:rPr>
          <w:rFonts w:ascii="Arial" w:hAnsi="Arial" w:cs="Arial"/>
          <w:b/>
        </w:rPr>
      </w:pPr>
    </w:p>
    <w:p w:rsidR="00DE3072" w:rsidRPr="009667ED" w:rsidRDefault="001E2136" w:rsidP="00DE3072">
      <w:pPr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t>Celkový počet přenocování v roce 201</w:t>
      </w:r>
      <w:r w:rsidR="00D228A3">
        <w:rPr>
          <w:rFonts w:ascii="Arial" w:hAnsi="Arial" w:cs="Arial"/>
          <w:b/>
          <w:color w:val="7030A0"/>
          <w:sz w:val="26"/>
          <w:szCs w:val="26"/>
        </w:rPr>
        <w:t>4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DE3072" w:rsidRPr="0018141D" w:rsidTr="009667ED"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6B3D56">
            <w:pPr>
              <w:pStyle w:val="Pa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D228A3">
            <w:pPr>
              <w:pStyle w:val="Pa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>Počet přenocování v roce 201</w:t>
            </w:r>
            <w:r w:rsidR="00D228A3">
              <w:rPr>
                <w:rStyle w:val="A2"/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62" w:type="dxa"/>
            <w:shd w:val="clear" w:color="auto" w:fill="FF6600"/>
            <w:vAlign w:val="center"/>
          </w:tcPr>
          <w:p w:rsidR="00DE3072" w:rsidRPr="0018141D" w:rsidRDefault="001E2136" w:rsidP="00D228A3">
            <w:pPr>
              <w:pStyle w:val="Pa10"/>
              <w:spacing w:after="2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 xml:space="preserve">Změna 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201</w:t>
            </w:r>
            <w:r w:rsidR="00D228A3">
              <w:rPr>
                <w:rStyle w:val="A2"/>
                <w:rFonts w:ascii="Arial" w:hAnsi="Arial" w:cs="Arial"/>
                <w:b/>
                <w:bCs/>
              </w:rPr>
              <w:t>4</w:t>
            </w:r>
            <w:r>
              <w:rPr>
                <w:rStyle w:val="A2"/>
                <w:rFonts w:ascii="Arial" w:hAnsi="Arial" w:cs="Arial"/>
                <w:b/>
                <w:bCs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13</w:t>
            </w:r>
            <w:r>
              <w:rPr>
                <w:rStyle w:val="A2"/>
                <w:rFonts w:ascii="Arial" w:hAnsi="Arial" w:cs="Arial"/>
                <w:b/>
                <w:bCs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 xml:space="preserve"> % 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Londýn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56,975.207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A641A8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+6,1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Paříž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36,031.466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-2,2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Berlín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28,688.683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+6,5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Řím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25,377.967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+5,0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17,091.852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+3,7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16,511.232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+11,0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F05AEF" w:rsidRDefault="00F05AEF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AEF">
              <w:rPr>
                <w:rFonts w:ascii="Arial" w:hAnsi="Arial" w:cs="Arial"/>
                <w:color w:val="000000"/>
                <w:sz w:val="22"/>
                <w:szCs w:val="22"/>
              </w:rPr>
              <w:t>Istanbul</w:t>
            </w:r>
          </w:p>
        </w:tc>
        <w:tc>
          <w:tcPr>
            <w:tcW w:w="2561" w:type="dxa"/>
            <w:vAlign w:val="center"/>
          </w:tcPr>
          <w:p w:rsidR="00DE3072" w:rsidRPr="00A641A8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1A8">
              <w:rPr>
                <w:rFonts w:ascii="Arial" w:hAnsi="Arial" w:cs="Arial"/>
                <w:color w:val="000000"/>
                <w:sz w:val="22"/>
                <w:szCs w:val="22"/>
              </w:rPr>
              <w:t>16,019.089</w:t>
            </w:r>
          </w:p>
        </w:tc>
        <w:tc>
          <w:tcPr>
            <w:tcW w:w="2562" w:type="dxa"/>
            <w:vAlign w:val="center"/>
          </w:tcPr>
          <w:p w:rsidR="00DE3072" w:rsidRPr="00A641A8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+13,6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975C98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975C98">
              <w:rPr>
                <w:rFonts w:ascii="Arial" w:hAnsi="Arial" w:cs="Arial"/>
                <w:b/>
                <w:color w:val="00B0F0"/>
                <w:sz w:val="22"/>
                <w:szCs w:val="22"/>
              </w:rPr>
              <w:t>Praha</w:t>
            </w:r>
          </w:p>
        </w:tc>
        <w:tc>
          <w:tcPr>
            <w:tcW w:w="2561" w:type="dxa"/>
            <w:vAlign w:val="center"/>
          </w:tcPr>
          <w:p w:rsidR="00DE3072" w:rsidRPr="00975C98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975C98">
              <w:rPr>
                <w:rFonts w:ascii="Arial" w:hAnsi="Arial" w:cs="Arial"/>
                <w:b/>
                <w:color w:val="00B0F0"/>
                <w:sz w:val="22"/>
                <w:szCs w:val="22"/>
              </w:rPr>
              <w:t>14,750.287</w:t>
            </w:r>
          </w:p>
        </w:tc>
        <w:tc>
          <w:tcPr>
            <w:tcW w:w="2562" w:type="dxa"/>
            <w:vAlign w:val="center"/>
          </w:tcPr>
          <w:p w:rsidR="00DE3072" w:rsidRPr="00975C98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975C98">
              <w:rPr>
                <w:rFonts w:ascii="Arial" w:hAnsi="Arial" w:cs="Arial"/>
                <w:b/>
                <w:color w:val="00B0F0"/>
                <w:sz w:val="22"/>
                <w:szCs w:val="22"/>
              </w:rPr>
              <w:t>+0,7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Vídeň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14,376.835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+6,1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Mnichov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13,448.024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+4,3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12,570.000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+11,6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F05AEF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Hamburk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11,993.424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+3,4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11,848.763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+7,8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10,271.089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+3,5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F05AEF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2561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9,919.320</w:t>
            </w:r>
          </w:p>
        </w:tc>
        <w:tc>
          <w:tcPr>
            <w:tcW w:w="2562" w:type="dxa"/>
            <w:vAlign w:val="center"/>
          </w:tcPr>
          <w:p w:rsidR="00DE3072" w:rsidRPr="0018141D" w:rsidRDefault="00A641A8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-1,8</w:t>
            </w:r>
          </w:p>
        </w:tc>
      </w:tr>
    </w:tbl>
    <w:p w:rsidR="00DE3072" w:rsidRPr="0018141D" w:rsidRDefault="00DE3072" w:rsidP="00DE3072">
      <w:pPr>
        <w:pStyle w:val="Pa1"/>
        <w:jc w:val="both"/>
        <w:rPr>
          <w:rFonts w:ascii="Arial" w:hAnsi="Arial" w:cs="Arial"/>
          <w:color w:val="000000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71088F" w:rsidRDefault="0071088F" w:rsidP="00DE3072">
      <w:pPr>
        <w:pStyle w:val="Default"/>
        <w:rPr>
          <w:rFonts w:ascii="Arial" w:hAnsi="Arial" w:cs="Arial"/>
          <w:sz w:val="20"/>
          <w:szCs w:val="20"/>
        </w:rPr>
      </w:pPr>
      <w:r w:rsidRPr="0071088F">
        <w:rPr>
          <w:rFonts w:ascii="Arial" w:hAnsi="Arial" w:cs="Arial"/>
          <w:sz w:val="20"/>
          <w:szCs w:val="20"/>
        </w:rPr>
        <w:t xml:space="preserve">Poznámka: </w:t>
      </w:r>
      <w:r w:rsidR="00DE3072" w:rsidRPr="0071088F">
        <w:rPr>
          <w:rFonts w:ascii="Arial" w:hAnsi="Arial" w:cs="Arial"/>
          <w:sz w:val="20"/>
          <w:szCs w:val="20"/>
        </w:rPr>
        <w:t>Okruh sledovaných ubytovacích zařízení</w:t>
      </w:r>
      <w:r>
        <w:rPr>
          <w:rFonts w:ascii="Arial" w:hAnsi="Arial" w:cs="Arial"/>
          <w:sz w:val="20"/>
          <w:szCs w:val="20"/>
        </w:rPr>
        <w:t xml:space="preserve"> </w:t>
      </w:r>
      <w:r w:rsidR="00557F58" w:rsidRPr="0071088F">
        <w:rPr>
          <w:rFonts w:ascii="Arial" w:hAnsi="Arial" w:cs="Arial"/>
          <w:sz w:val="20"/>
          <w:szCs w:val="20"/>
        </w:rPr>
        <w:t>není v jednotlivých městech jednotně definován.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9667ED" w:rsidRDefault="00B734F4" w:rsidP="00DE3072">
      <w:pPr>
        <w:pStyle w:val="Default"/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lastRenderedPageBreak/>
        <w:t>Hlavní zdrojové trhy 11</w:t>
      </w:r>
      <w:r w:rsidR="005D5F65">
        <w:rPr>
          <w:rFonts w:ascii="Arial" w:hAnsi="Arial" w:cs="Arial"/>
          <w:b/>
          <w:color w:val="7030A0"/>
          <w:sz w:val="26"/>
          <w:szCs w:val="26"/>
        </w:rPr>
        <w:t>9</w:t>
      </w:r>
      <w:r w:rsidRPr="009667ED">
        <w:rPr>
          <w:rFonts w:ascii="Arial" w:hAnsi="Arial" w:cs="Arial"/>
          <w:b/>
          <w:color w:val="7030A0"/>
          <w:sz w:val="26"/>
          <w:szCs w:val="26"/>
        </w:rPr>
        <w:t xml:space="preserve"> sledovaných evropských měst v roce 201</w:t>
      </w:r>
      <w:r w:rsidR="00D228A3">
        <w:rPr>
          <w:rFonts w:ascii="Arial" w:hAnsi="Arial" w:cs="Arial"/>
          <w:b/>
          <w:color w:val="7030A0"/>
          <w:sz w:val="26"/>
          <w:szCs w:val="26"/>
        </w:rPr>
        <w:t>4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</w:tblGrid>
      <w:tr w:rsidR="00DE3072" w:rsidRPr="0018141D" w:rsidTr="009667ED">
        <w:tc>
          <w:tcPr>
            <w:tcW w:w="2518" w:type="dxa"/>
            <w:shd w:val="clear" w:color="auto" w:fill="FF6600"/>
            <w:vAlign w:val="center"/>
          </w:tcPr>
          <w:p w:rsidR="00DE3072" w:rsidRPr="0018141D" w:rsidRDefault="00B734F4" w:rsidP="00B734F4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Země</w:t>
            </w:r>
          </w:p>
        </w:tc>
        <w:tc>
          <w:tcPr>
            <w:tcW w:w="2552" w:type="dxa"/>
            <w:shd w:val="clear" w:color="auto" w:fill="FF6600"/>
            <w:vAlign w:val="center"/>
          </w:tcPr>
          <w:p w:rsidR="00DE3072" w:rsidRPr="0018141D" w:rsidRDefault="00B734F4" w:rsidP="00D228A3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Celkový počet přenocování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201</w:t>
            </w:r>
            <w:r w:rsidR="00D228A3">
              <w:rPr>
                <w:rStyle w:val="A2"/>
                <w:rFonts w:ascii="Arial" w:hAnsi="Arial" w:cs="Arial"/>
                <w:b/>
              </w:rPr>
              <w:t>4</w:t>
            </w:r>
          </w:p>
        </w:tc>
        <w:tc>
          <w:tcPr>
            <w:tcW w:w="2551" w:type="dxa"/>
            <w:shd w:val="clear" w:color="auto" w:fill="FF6600"/>
            <w:vAlign w:val="center"/>
          </w:tcPr>
          <w:p w:rsidR="00DE3072" w:rsidRPr="0018141D" w:rsidRDefault="00B734F4" w:rsidP="00D228A3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 xml:space="preserve">Rozdíl 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201</w:t>
            </w:r>
            <w:r w:rsidR="00D228A3">
              <w:rPr>
                <w:rStyle w:val="A2"/>
                <w:rFonts w:ascii="Arial" w:hAnsi="Arial" w:cs="Arial"/>
                <w:b/>
              </w:rPr>
              <w:t>4</w:t>
            </w:r>
            <w:r>
              <w:rPr>
                <w:rStyle w:val="A2"/>
                <w:rFonts w:ascii="Arial" w:hAnsi="Arial" w:cs="Arial"/>
                <w:b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13</w:t>
            </w:r>
            <w:r>
              <w:rPr>
                <w:rStyle w:val="A2"/>
                <w:rFonts w:ascii="Arial" w:hAnsi="Arial" w:cs="Arial"/>
                <w:b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%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32,577.316</w:t>
            </w:r>
          </w:p>
        </w:tc>
        <w:tc>
          <w:tcPr>
            <w:tcW w:w="2551" w:type="dxa"/>
          </w:tcPr>
          <w:p w:rsidR="00DE3072" w:rsidRPr="0018141D" w:rsidRDefault="005D5F65" w:rsidP="0071088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+8,5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Německo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25,439.985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+4,9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Spojené království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24,727.195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+4,9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Francie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19,006.204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+5,5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Itálie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17,114.106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+12,4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Španělsko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12,199.093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+7,7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Rusko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9,890.106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-6,8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Japonsko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6,834.821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-4,0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5D5F65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Čína</w:t>
            </w:r>
          </w:p>
        </w:tc>
        <w:tc>
          <w:tcPr>
            <w:tcW w:w="2552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5,568.739</w:t>
            </w:r>
          </w:p>
        </w:tc>
        <w:tc>
          <w:tcPr>
            <w:tcW w:w="2551" w:type="dxa"/>
          </w:tcPr>
          <w:p w:rsidR="00DE3072" w:rsidRPr="0018141D" w:rsidRDefault="005D5F65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+14,5</w:t>
            </w:r>
          </w:p>
        </w:tc>
      </w:tr>
    </w:tbl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557F58" w:rsidRDefault="00557F58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B734F4" w:rsidP="00DE3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Zdroj dat</w:t>
      </w:r>
      <w:r w:rsidR="00DE307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The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European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Cities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Benchmarking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Report – 1</w:t>
      </w:r>
      <w:r w:rsidR="00D228A3">
        <w:rPr>
          <w:rFonts w:ascii="Arial" w:hAnsi="Arial" w:cs="Arial"/>
          <w:sz w:val="22"/>
          <w:szCs w:val="22"/>
        </w:rPr>
        <w:t>1</w:t>
      </w:r>
      <w:r w:rsidR="00DE3072" w:rsidRPr="0018141D">
        <w:rPr>
          <w:rFonts w:ascii="Arial" w:hAnsi="Arial" w:cs="Arial"/>
          <w:sz w:val="22"/>
          <w:szCs w:val="22"/>
        </w:rPr>
        <w:t xml:space="preserve">th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Official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Edition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201</w:t>
      </w:r>
      <w:r w:rsidR="00D228A3">
        <w:rPr>
          <w:rFonts w:ascii="Arial" w:hAnsi="Arial" w:cs="Arial"/>
          <w:sz w:val="22"/>
          <w:szCs w:val="22"/>
        </w:rPr>
        <w:t>4</w:t>
      </w:r>
      <w:r w:rsidR="00DE3072" w:rsidRPr="0018141D">
        <w:rPr>
          <w:rFonts w:ascii="Arial" w:hAnsi="Arial" w:cs="Arial"/>
          <w:sz w:val="22"/>
          <w:szCs w:val="22"/>
        </w:rPr>
        <w:t xml:space="preserve"> – 201</w:t>
      </w:r>
      <w:r w:rsidR="00D228A3">
        <w:rPr>
          <w:rFonts w:ascii="Arial" w:hAnsi="Arial" w:cs="Arial"/>
          <w:sz w:val="22"/>
          <w:szCs w:val="22"/>
        </w:rPr>
        <w:t>5</w:t>
      </w:r>
    </w:p>
    <w:p w:rsidR="00A23E99" w:rsidRDefault="00975C98" w:rsidP="00DE3072">
      <w:hyperlink r:id="rId6" w:history="1">
        <w:r w:rsidR="00DE3072" w:rsidRPr="00E9291E">
          <w:rPr>
            <w:rStyle w:val="Hypertextovodkaz"/>
            <w:rFonts w:ascii="Arial" w:hAnsi="Arial" w:cs="Arial"/>
          </w:rPr>
          <w:t>http://www.europeancitiesmarketing.com/research/reports-and-studies/ecm-benchmarking-report/</w:t>
        </w:r>
      </w:hyperlink>
    </w:p>
    <w:sectPr w:rsidR="00A2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GGUU S+ Chaparral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405"/>
    <w:multiLevelType w:val="hybridMultilevel"/>
    <w:tmpl w:val="AB64A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A1C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7614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2"/>
    <w:rsid w:val="00036512"/>
    <w:rsid w:val="001E2136"/>
    <w:rsid w:val="00557F58"/>
    <w:rsid w:val="005D5F65"/>
    <w:rsid w:val="0071088F"/>
    <w:rsid w:val="007D30D1"/>
    <w:rsid w:val="009667ED"/>
    <w:rsid w:val="00975C98"/>
    <w:rsid w:val="00A22941"/>
    <w:rsid w:val="00A23E99"/>
    <w:rsid w:val="00A641A8"/>
    <w:rsid w:val="00B734F4"/>
    <w:rsid w:val="00C1664F"/>
    <w:rsid w:val="00D228A3"/>
    <w:rsid w:val="00DE3072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citiesmarketing.com/research/reports-and-studies/ecm-benchmarking-re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4</cp:revision>
  <dcterms:created xsi:type="dcterms:W3CDTF">2016-03-30T11:43:00Z</dcterms:created>
  <dcterms:modified xsi:type="dcterms:W3CDTF">2016-03-30T12:15:00Z</dcterms:modified>
</cp:coreProperties>
</file>