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6A425B">
                              <w:rPr>
                                <w:rFonts w:ascii="Sitka Small" w:hAnsi="Sitka Small" w:cs="Arial"/>
                                <w:b/>
                                <w:color w:val="723288"/>
                                <w:sz w:val="20"/>
                                <w:szCs w:val="20"/>
                              </w:rPr>
                              <w:t>5</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6A425B">
                              <w:rPr>
                                <w:rFonts w:ascii="Sitka Small" w:hAnsi="Sitka Small" w:cs="Arial"/>
                                <w:b/>
                                <w:color w:val="723288"/>
                                <w:sz w:val="20"/>
                                <w:szCs w:val="20"/>
                              </w:rPr>
                              <w:t>1</w:t>
                            </w:r>
                            <w:r w:rsidRPr="00C46ADF">
                              <w:rPr>
                                <w:rFonts w:ascii="Sitka Small" w:hAnsi="Sitka Small" w:cs="Arial"/>
                                <w:b/>
                                <w:color w:val="723288"/>
                                <w:sz w:val="20"/>
                                <w:szCs w:val="20"/>
                              </w:rPr>
                              <w:t>. 201</w:t>
                            </w:r>
                            <w:r w:rsidR="006A425B">
                              <w:rPr>
                                <w:rFonts w:ascii="Sitka Small" w:hAnsi="Sitka Small" w:cs="Arial"/>
                                <w:b/>
                                <w:color w:val="723288"/>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6A425B">
                        <w:rPr>
                          <w:rFonts w:ascii="Sitka Small" w:hAnsi="Sitka Small" w:cs="Arial"/>
                          <w:b/>
                          <w:color w:val="723288"/>
                          <w:sz w:val="20"/>
                          <w:szCs w:val="20"/>
                        </w:rPr>
                        <w:t>5</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6A425B">
                        <w:rPr>
                          <w:rFonts w:ascii="Sitka Small" w:hAnsi="Sitka Small" w:cs="Arial"/>
                          <w:b/>
                          <w:color w:val="723288"/>
                          <w:sz w:val="20"/>
                          <w:szCs w:val="20"/>
                        </w:rPr>
                        <w:t>1</w:t>
                      </w:r>
                      <w:r w:rsidRPr="00C46ADF">
                        <w:rPr>
                          <w:rFonts w:ascii="Sitka Small" w:hAnsi="Sitka Small" w:cs="Arial"/>
                          <w:b/>
                          <w:color w:val="723288"/>
                          <w:sz w:val="20"/>
                          <w:szCs w:val="20"/>
                        </w:rPr>
                        <w:t>. 201</w:t>
                      </w:r>
                      <w:r w:rsidR="006A425B">
                        <w:rPr>
                          <w:rFonts w:ascii="Sitka Small" w:hAnsi="Sitka Small" w:cs="Arial"/>
                          <w:b/>
                          <w:color w:val="723288"/>
                          <w:sz w:val="20"/>
                          <w:szCs w:val="20"/>
                        </w:rPr>
                        <w:t>8</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25B" w:rsidRPr="006A425B" w:rsidRDefault="006A425B" w:rsidP="006A425B">
                            <w:pPr>
                              <w:rPr>
                                <w:rFonts w:ascii="Sitka Small" w:hAnsi="Sitka Small"/>
                                <w:b/>
                                <w:sz w:val="22"/>
                                <w:szCs w:val="22"/>
                                <w:lang w:val="en-GB"/>
                              </w:rPr>
                            </w:pPr>
                            <w:r w:rsidRPr="006A425B">
                              <w:rPr>
                                <w:rFonts w:ascii="Sitka Small" w:hAnsi="Sitka Small"/>
                                <w:b/>
                                <w:sz w:val="22"/>
                                <w:szCs w:val="22"/>
                                <w:lang w:val="en-GB"/>
                              </w:rPr>
                              <w:t xml:space="preserve">New Town Hall offered entry to tower to Old Town Hall visitors </w:t>
                            </w:r>
                          </w:p>
                          <w:p w:rsidR="006A425B" w:rsidRPr="006A425B" w:rsidRDefault="006A425B" w:rsidP="006A425B">
                            <w:pPr>
                              <w:rPr>
                                <w:rFonts w:ascii="Sitka Small" w:hAnsi="Sitka Small"/>
                                <w:b/>
                                <w:sz w:val="20"/>
                                <w:szCs w:val="20"/>
                                <w:lang w:val="en-GB"/>
                              </w:rPr>
                            </w:pPr>
                          </w:p>
                          <w:p w:rsidR="006A425B" w:rsidRPr="006A425B" w:rsidRDefault="006A425B" w:rsidP="006A425B">
                            <w:pPr>
                              <w:rPr>
                                <w:rFonts w:ascii="Sitka Small" w:hAnsi="Sitka Small"/>
                                <w:b/>
                                <w:sz w:val="20"/>
                                <w:szCs w:val="20"/>
                                <w:lang w:val="en-GB"/>
                              </w:rPr>
                            </w:pPr>
                            <w:r w:rsidRPr="006A425B">
                              <w:rPr>
                                <w:rFonts w:ascii="Sitka Small" w:hAnsi="Sitka Small"/>
                                <w:b/>
                                <w:sz w:val="20"/>
                                <w:szCs w:val="20"/>
                                <w:lang w:val="en-GB"/>
                              </w:rPr>
                              <w:t>During the reconstruction of the Old Town Hall tower, Prague City Tourism has established cooperation with New Town Hall management. From May to December 2017 visitors have been given the opportunity to visit the Old Town Hall underground, its chapel and historic halls and to climb the New Town Hall tower with one ticket.</w:t>
                            </w:r>
                          </w:p>
                          <w:p w:rsidR="006A425B" w:rsidRPr="006A425B" w:rsidRDefault="006A425B" w:rsidP="006A425B">
                            <w:pPr>
                              <w:rPr>
                                <w:rFonts w:ascii="Sitka Small" w:hAnsi="Sitka Small"/>
                                <w:b/>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sz w:val="20"/>
                                <w:szCs w:val="20"/>
                                <w:lang w:val="en-GB"/>
                              </w:rPr>
                              <w:t>The view from the tower of Old Town Hall is one of the most popular tourist attractions, that attracts hundreds of thousands of visitors every year. In 2016, there were over 860 000 visitors. During the reconstruction, the tourists did not lose the opportunity to see Prague from a bird’s eye view. During the tower closure, the ticket to Old Town Hall was valid also for the entry to New Town Hall on the Charles Square. A quarter of all the visitors, on average 1400 per month, have made use of this option.</w:t>
                            </w:r>
                          </w:p>
                          <w:p w:rsidR="006A425B" w:rsidRPr="006A425B" w:rsidRDefault="006A425B" w:rsidP="006A425B">
                            <w:pPr>
                              <w:rPr>
                                <w:rFonts w:ascii="Sitka Small" w:hAnsi="Sitka Small"/>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sz w:val="20"/>
                                <w:szCs w:val="20"/>
                                <w:lang w:val="en-GB"/>
                              </w:rPr>
                              <w:t xml:space="preserve">The Old Town Hall tower reopened on 18th December 2017. On this occasion, Prague City Tourism launched a new website of Old Town Hall in more current and user- friendly form. </w:t>
                            </w:r>
                          </w:p>
                          <w:p w:rsidR="006A425B" w:rsidRPr="006A425B" w:rsidRDefault="006A425B" w:rsidP="006A425B">
                            <w:pPr>
                              <w:rPr>
                                <w:rFonts w:ascii="Sitka Small" w:hAnsi="Sitka Small"/>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i/>
                                <w:sz w:val="20"/>
                                <w:szCs w:val="20"/>
                                <w:lang w:val="en-GB"/>
                              </w:rPr>
                              <w:t xml:space="preserve">„The reconstruction of Old Town Hall is a difficult time for us. We are glad that the management of the New Town Hall helped us to solve the situation and made it easier for our employees and more comfortable for the visitors. On the 18th of December, the tower reopened again, and we are excited that we can introduce one of the most beautiful monuments in Prague to the tourists anew. After the reconstruction even better and in the perfect </w:t>
                            </w:r>
                            <w:proofErr w:type="gramStart"/>
                            <w:r w:rsidRPr="006A425B">
                              <w:rPr>
                                <w:rFonts w:ascii="Sitka Small" w:hAnsi="Sitka Small"/>
                                <w:i/>
                                <w:sz w:val="20"/>
                                <w:szCs w:val="20"/>
                                <w:lang w:val="en-GB"/>
                              </w:rPr>
                              <w:t>state</w:t>
                            </w:r>
                            <w:r w:rsidRPr="006A425B">
                              <w:rPr>
                                <w:rFonts w:ascii="Sitka Small" w:hAnsi="Sitka Small"/>
                                <w:i/>
                                <w:sz w:val="20"/>
                                <w:szCs w:val="20"/>
                                <w:lang w:val="en-GB"/>
                              </w:rPr>
                              <w:t>,</w:t>
                            </w:r>
                            <w:r w:rsidRPr="006A425B">
                              <w:rPr>
                                <w:rFonts w:ascii="Sitka Small" w:hAnsi="Sitka Small"/>
                                <w:i/>
                                <w:sz w:val="20"/>
                                <w:szCs w:val="20"/>
                                <w:lang w:val="en-GB"/>
                              </w:rPr>
                              <w:t>“</w:t>
                            </w:r>
                            <w:proofErr w:type="gramEnd"/>
                            <w:r w:rsidRPr="006A425B">
                              <w:rPr>
                                <w:rFonts w:ascii="Sitka Small" w:hAnsi="Sitka Small"/>
                                <w:i/>
                                <w:sz w:val="20"/>
                                <w:szCs w:val="20"/>
                                <w:lang w:val="en-GB"/>
                              </w:rPr>
                              <w:t xml:space="preserve"> </w:t>
                            </w:r>
                            <w:r w:rsidRPr="006A425B">
                              <w:rPr>
                                <w:rFonts w:ascii="Sitka Small" w:hAnsi="Sitka Small"/>
                                <w:sz w:val="20"/>
                                <w:szCs w:val="20"/>
                                <w:lang w:val="en-GB"/>
                              </w:rPr>
                              <w:t xml:space="preserve">says </w:t>
                            </w:r>
                            <w:r w:rsidRPr="006A425B">
                              <w:rPr>
                                <w:rFonts w:ascii="Sitka Small" w:hAnsi="Sitka Small"/>
                                <w:b/>
                                <w:sz w:val="20"/>
                                <w:szCs w:val="20"/>
                                <w:lang w:val="en-GB"/>
                              </w:rPr>
                              <w:t>Petr Slepička</w:t>
                            </w:r>
                            <w:r w:rsidRPr="006A425B">
                              <w:rPr>
                                <w:rFonts w:ascii="Sitka Small" w:hAnsi="Sitka Small"/>
                                <w:sz w:val="20"/>
                                <w:szCs w:val="20"/>
                                <w:lang w:val="en-GB"/>
                              </w:rPr>
                              <w:t>, Prague City Tourism interim CEO.</w:t>
                            </w:r>
                          </w:p>
                          <w:p w:rsidR="006A425B" w:rsidRPr="006A425B" w:rsidRDefault="006A425B" w:rsidP="006A425B">
                            <w:pPr>
                              <w:rPr>
                                <w:rFonts w:ascii="Sitka Small" w:hAnsi="Sitka Small"/>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sz w:val="20"/>
                                <w:szCs w:val="20"/>
                                <w:lang w:val="en-GB"/>
                              </w:rPr>
                              <w:t>For the New Town Hall, 2017 was also the year of revision and reconstruction, despite which the management established the cooperation with the Old Town Hall. „</w:t>
                            </w:r>
                            <w:r w:rsidRPr="006A425B">
                              <w:rPr>
                                <w:rFonts w:ascii="Sitka Small" w:hAnsi="Sitka Small"/>
                                <w:i/>
                                <w:sz w:val="20"/>
                                <w:szCs w:val="20"/>
                                <w:lang w:val="en-GB"/>
                              </w:rPr>
                              <w:t xml:space="preserve">Last year was full of new experiences and reasons for happiness. We welcomed an extremely high number of visitors and even in a small team we handled it and found a partner for the smooth and overall great cooperation. Now we are looking forward to the next challenges the future will </w:t>
                            </w:r>
                            <w:proofErr w:type="gramStart"/>
                            <w:r w:rsidRPr="006A425B">
                              <w:rPr>
                                <w:rFonts w:ascii="Sitka Small" w:hAnsi="Sitka Small"/>
                                <w:i/>
                                <w:sz w:val="20"/>
                                <w:szCs w:val="20"/>
                                <w:lang w:val="en-GB"/>
                              </w:rPr>
                              <w:t>bring,“</w:t>
                            </w:r>
                            <w:proofErr w:type="gramEnd"/>
                            <w:r w:rsidRPr="006A425B">
                              <w:rPr>
                                <w:rFonts w:ascii="Sitka Small" w:hAnsi="Sitka Small"/>
                                <w:i/>
                                <w:sz w:val="20"/>
                                <w:szCs w:val="20"/>
                                <w:lang w:val="en-GB"/>
                              </w:rPr>
                              <w:t xml:space="preserve"> </w:t>
                            </w:r>
                            <w:r w:rsidRPr="006A425B">
                              <w:rPr>
                                <w:rFonts w:ascii="Sitka Small" w:hAnsi="Sitka Small"/>
                                <w:sz w:val="20"/>
                                <w:szCs w:val="20"/>
                                <w:lang w:val="en-GB"/>
                              </w:rPr>
                              <w:t xml:space="preserve">says the New Town Hall director </w:t>
                            </w:r>
                            <w:r w:rsidRPr="006A425B">
                              <w:rPr>
                                <w:rFonts w:ascii="Sitka Small" w:hAnsi="Sitka Small"/>
                                <w:b/>
                                <w:sz w:val="20"/>
                                <w:szCs w:val="20"/>
                                <w:lang w:val="en-GB"/>
                              </w:rPr>
                              <w:t xml:space="preserve">Albert </w:t>
                            </w:r>
                            <w:proofErr w:type="spellStart"/>
                            <w:r w:rsidRPr="006A425B">
                              <w:rPr>
                                <w:rFonts w:ascii="Sitka Small" w:hAnsi="Sitka Small"/>
                                <w:b/>
                                <w:sz w:val="20"/>
                                <w:szCs w:val="20"/>
                                <w:lang w:val="en-GB"/>
                              </w:rPr>
                              <w:t>Kubišta</w:t>
                            </w:r>
                            <w:proofErr w:type="spellEnd"/>
                            <w:r w:rsidRPr="006A425B">
                              <w:rPr>
                                <w:rFonts w:ascii="Sitka Small" w:hAnsi="Sitka Small"/>
                                <w:sz w:val="20"/>
                                <w:szCs w:val="20"/>
                                <w:lang w:val="en-GB"/>
                              </w:rPr>
                              <w:t>.</w:t>
                            </w:r>
                          </w:p>
                          <w:p w:rsidR="00C46ADF" w:rsidRDefault="00C46ADF" w:rsidP="00845BE0">
                            <w:pPr>
                              <w:spacing w:line="276" w:lineRule="auto"/>
                              <w:rPr>
                                <w:rFonts w:ascii="Sitka Small" w:hAnsi="Sitka Small"/>
                                <w:b/>
                                <w:sz w:val="16"/>
                                <w:szCs w:val="16"/>
                                <w:lang w:val="en-GB"/>
                              </w:rPr>
                            </w:pPr>
                          </w:p>
                          <w:p w:rsidR="006A425B" w:rsidRDefault="006A425B" w:rsidP="00845BE0">
                            <w:pPr>
                              <w:spacing w:line="276" w:lineRule="auto"/>
                              <w:rPr>
                                <w:rFonts w:ascii="Sitka Small" w:hAnsi="Sitka Small"/>
                                <w:b/>
                                <w:sz w:val="16"/>
                                <w:szCs w:val="16"/>
                                <w:lang w:val="en-GB"/>
                              </w:rPr>
                            </w:pPr>
                          </w:p>
                          <w:p w:rsidR="006A425B" w:rsidRDefault="006A425B" w:rsidP="00845BE0">
                            <w:pPr>
                              <w:spacing w:line="276" w:lineRule="auto"/>
                              <w:rPr>
                                <w:rFonts w:ascii="Sitka Small" w:hAnsi="Sitka Small"/>
                                <w:b/>
                                <w:sz w:val="16"/>
                                <w:szCs w:val="16"/>
                                <w:lang w:val="en-GB"/>
                              </w:rPr>
                            </w:pPr>
                          </w:p>
                          <w:p w:rsidR="006A425B" w:rsidRDefault="006A425B" w:rsidP="00845BE0">
                            <w:pPr>
                              <w:spacing w:line="276" w:lineRule="auto"/>
                              <w:rPr>
                                <w:rFonts w:ascii="Sitka Small" w:hAnsi="Sitka Small"/>
                                <w:b/>
                                <w:sz w:val="16"/>
                                <w:szCs w:val="16"/>
                                <w:lang w:val="en-GB"/>
                              </w:rPr>
                            </w:pPr>
                          </w:p>
                          <w:p w:rsidR="006A425B" w:rsidRPr="00E762BF" w:rsidRDefault="006A425B"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80502"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6A425B" w:rsidRPr="006A425B" w:rsidRDefault="006A425B" w:rsidP="006A425B">
                      <w:pPr>
                        <w:rPr>
                          <w:rFonts w:ascii="Sitka Small" w:hAnsi="Sitka Small"/>
                          <w:b/>
                          <w:sz w:val="22"/>
                          <w:szCs w:val="22"/>
                          <w:lang w:val="en-GB"/>
                        </w:rPr>
                      </w:pPr>
                      <w:r w:rsidRPr="006A425B">
                        <w:rPr>
                          <w:rFonts w:ascii="Sitka Small" w:hAnsi="Sitka Small"/>
                          <w:b/>
                          <w:sz w:val="22"/>
                          <w:szCs w:val="22"/>
                          <w:lang w:val="en-GB"/>
                        </w:rPr>
                        <w:t xml:space="preserve">New Town Hall offered entry to tower to Old Town Hall visitors </w:t>
                      </w:r>
                    </w:p>
                    <w:p w:rsidR="006A425B" w:rsidRPr="006A425B" w:rsidRDefault="006A425B" w:rsidP="006A425B">
                      <w:pPr>
                        <w:rPr>
                          <w:rFonts w:ascii="Sitka Small" w:hAnsi="Sitka Small"/>
                          <w:b/>
                          <w:sz w:val="20"/>
                          <w:szCs w:val="20"/>
                          <w:lang w:val="en-GB"/>
                        </w:rPr>
                      </w:pPr>
                    </w:p>
                    <w:p w:rsidR="006A425B" w:rsidRPr="006A425B" w:rsidRDefault="006A425B" w:rsidP="006A425B">
                      <w:pPr>
                        <w:rPr>
                          <w:rFonts w:ascii="Sitka Small" w:hAnsi="Sitka Small"/>
                          <w:b/>
                          <w:sz w:val="20"/>
                          <w:szCs w:val="20"/>
                          <w:lang w:val="en-GB"/>
                        </w:rPr>
                      </w:pPr>
                      <w:r w:rsidRPr="006A425B">
                        <w:rPr>
                          <w:rFonts w:ascii="Sitka Small" w:hAnsi="Sitka Small"/>
                          <w:b/>
                          <w:sz w:val="20"/>
                          <w:szCs w:val="20"/>
                          <w:lang w:val="en-GB"/>
                        </w:rPr>
                        <w:t>During the reconstruction of the Old Town Hall tower, Prague City Tourism has established cooperation with New Town Hall management. From May to December 2017 visitors have been given the opportunity to visit the Old Town Hall underground, its chapel and historic halls and to climb the New Town Hall tower with one ticket.</w:t>
                      </w:r>
                    </w:p>
                    <w:p w:rsidR="006A425B" w:rsidRPr="006A425B" w:rsidRDefault="006A425B" w:rsidP="006A425B">
                      <w:pPr>
                        <w:rPr>
                          <w:rFonts w:ascii="Sitka Small" w:hAnsi="Sitka Small"/>
                          <w:b/>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sz w:val="20"/>
                          <w:szCs w:val="20"/>
                          <w:lang w:val="en-GB"/>
                        </w:rPr>
                        <w:t>The view from the tower of Old Town Hall is one of the most popular tourist attractions, that attracts hundreds of thousands of visitors every year. In 2016, there were over 860 000 visitors. During the reconstruction, the tourists did not lose the opportunity to see Prague from a bird’s eye view. During the tower closure, the ticket to Old Town Hall was valid also for the entry to New Town Hall on the Charles Square. A quarter of all the visitors, on average 1400 per month, have made use of this option.</w:t>
                      </w:r>
                    </w:p>
                    <w:p w:rsidR="006A425B" w:rsidRPr="006A425B" w:rsidRDefault="006A425B" w:rsidP="006A425B">
                      <w:pPr>
                        <w:rPr>
                          <w:rFonts w:ascii="Sitka Small" w:hAnsi="Sitka Small"/>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sz w:val="20"/>
                          <w:szCs w:val="20"/>
                          <w:lang w:val="en-GB"/>
                        </w:rPr>
                        <w:t xml:space="preserve">The Old Town Hall tower reopened on 18th December 2017. On this occasion, Prague City Tourism launched a new website of Old Town Hall in more current and user- friendly form. </w:t>
                      </w:r>
                    </w:p>
                    <w:p w:rsidR="006A425B" w:rsidRPr="006A425B" w:rsidRDefault="006A425B" w:rsidP="006A425B">
                      <w:pPr>
                        <w:rPr>
                          <w:rFonts w:ascii="Sitka Small" w:hAnsi="Sitka Small"/>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i/>
                          <w:sz w:val="20"/>
                          <w:szCs w:val="20"/>
                          <w:lang w:val="en-GB"/>
                        </w:rPr>
                        <w:t xml:space="preserve">„The reconstruction of Old Town Hall is a difficult time for us. We are glad that the management of the New Town Hall helped us to solve the situation and made it easier for our employees and more comfortable for the visitors. On the 18th of December, the tower reopened again, and we are excited that we can introduce one of the most beautiful monuments in Prague to the tourists anew. After the reconstruction even better and in the perfect </w:t>
                      </w:r>
                      <w:proofErr w:type="gramStart"/>
                      <w:r w:rsidRPr="006A425B">
                        <w:rPr>
                          <w:rFonts w:ascii="Sitka Small" w:hAnsi="Sitka Small"/>
                          <w:i/>
                          <w:sz w:val="20"/>
                          <w:szCs w:val="20"/>
                          <w:lang w:val="en-GB"/>
                        </w:rPr>
                        <w:t>state</w:t>
                      </w:r>
                      <w:r w:rsidRPr="006A425B">
                        <w:rPr>
                          <w:rFonts w:ascii="Sitka Small" w:hAnsi="Sitka Small"/>
                          <w:i/>
                          <w:sz w:val="20"/>
                          <w:szCs w:val="20"/>
                          <w:lang w:val="en-GB"/>
                        </w:rPr>
                        <w:t>,</w:t>
                      </w:r>
                      <w:r w:rsidRPr="006A425B">
                        <w:rPr>
                          <w:rFonts w:ascii="Sitka Small" w:hAnsi="Sitka Small"/>
                          <w:i/>
                          <w:sz w:val="20"/>
                          <w:szCs w:val="20"/>
                          <w:lang w:val="en-GB"/>
                        </w:rPr>
                        <w:t>“</w:t>
                      </w:r>
                      <w:proofErr w:type="gramEnd"/>
                      <w:r w:rsidRPr="006A425B">
                        <w:rPr>
                          <w:rFonts w:ascii="Sitka Small" w:hAnsi="Sitka Small"/>
                          <w:i/>
                          <w:sz w:val="20"/>
                          <w:szCs w:val="20"/>
                          <w:lang w:val="en-GB"/>
                        </w:rPr>
                        <w:t xml:space="preserve"> </w:t>
                      </w:r>
                      <w:r w:rsidRPr="006A425B">
                        <w:rPr>
                          <w:rFonts w:ascii="Sitka Small" w:hAnsi="Sitka Small"/>
                          <w:sz w:val="20"/>
                          <w:szCs w:val="20"/>
                          <w:lang w:val="en-GB"/>
                        </w:rPr>
                        <w:t xml:space="preserve">says </w:t>
                      </w:r>
                      <w:r w:rsidRPr="006A425B">
                        <w:rPr>
                          <w:rFonts w:ascii="Sitka Small" w:hAnsi="Sitka Small"/>
                          <w:b/>
                          <w:sz w:val="20"/>
                          <w:szCs w:val="20"/>
                          <w:lang w:val="en-GB"/>
                        </w:rPr>
                        <w:t>Petr Slepička</w:t>
                      </w:r>
                      <w:r w:rsidRPr="006A425B">
                        <w:rPr>
                          <w:rFonts w:ascii="Sitka Small" w:hAnsi="Sitka Small"/>
                          <w:sz w:val="20"/>
                          <w:szCs w:val="20"/>
                          <w:lang w:val="en-GB"/>
                        </w:rPr>
                        <w:t>, Prague City Tourism interim CEO.</w:t>
                      </w:r>
                    </w:p>
                    <w:p w:rsidR="006A425B" w:rsidRPr="006A425B" w:rsidRDefault="006A425B" w:rsidP="006A425B">
                      <w:pPr>
                        <w:rPr>
                          <w:rFonts w:ascii="Sitka Small" w:hAnsi="Sitka Small"/>
                          <w:sz w:val="20"/>
                          <w:szCs w:val="20"/>
                          <w:lang w:val="en-GB"/>
                        </w:rPr>
                      </w:pPr>
                    </w:p>
                    <w:p w:rsidR="006A425B" w:rsidRPr="006A425B" w:rsidRDefault="006A425B" w:rsidP="006A425B">
                      <w:pPr>
                        <w:rPr>
                          <w:rFonts w:ascii="Sitka Small" w:hAnsi="Sitka Small"/>
                          <w:sz w:val="20"/>
                          <w:szCs w:val="20"/>
                          <w:lang w:val="en-GB"/>
                        </w:rPr>
                      </w:pPr>
                      <w:r w:rsidRPr="006A425B">
                        <w:rPr>
                          <w:rFonts w:ascii="Sitka Small" w:hAnsi="Sitka Small"/>
                          <w:sz w:val="20"/>
                          <w:szCs w:val="20"/>
                          <w:lang w:val="en-GB"/>
                        </w:rPr>
                        <w:t>For the New Town Hall, 2017 was also the year of revision and reconstruction, despite which the management established the cooperation with the Old Town Hall. „</w:t>
                      </w:r>
                      <w:r w:rsidRPr="006A425B">
                        <w:rPr>
                          <w:rFonts w:ascii="Sitka Small" w:hAnsi="Sitka Small"/>
                          <w:i/>
                          <w:sz w:val="20"/>
                          <w:szCs w:val="20"/>
                          <w:lang w:val="en-GB"/>
                        </w:rPr>
                        <w:t xml:space="preserve">Last year was full of new experiences and reasons for happiness. We welcomed an extremely high number of visitors and even in a small team we handled it and found a partner for the smooth and overall great cooperation. Now we are looking forward to the next challenges the future will </w:t>
                      </w:r>
                      <w:proofErr w:type="gramStart"/>
                      <w:r w:rsidRPr="006A425B">
                        <w:rPr>
                          <w:rFonts w:ascii="Sitka Small" w:hAnsi="Sitka Small"/>
                          <w:i/>
                          <w:sz w:val="20"/>
                          <w:szCs w:val="20"/>
                          <w:lang w:val="en-GB"/>
                        </w:rPr>
                        <w:t>bring,“</w:t>
                      </w:r>
                      <w:proofErr w:type="gramEnd"/>
                      <w:r w:rsidRPr="006A425B">
                        <w:rPr>
                          <w:rFonts w:ascii="Sitka Small" w:hAnsi="Sitka Small"/>
                          <w:i/>
                          <w:sz w:val="20"/>
                          <w:szCs w:val="20"/>
                          <w:lang w:val="en-GB"/>
                        </w:rPr>
                        <w:t xml:space="preserve"> </w:t>
                      </w:r>
                      <w:r w:rsidRPr="006A425B">
                        <w:rPr>
                          <w:rFonts w:ascii="Sitka Small" w:hAnsi="Sitka Small"/>
                          <w:sz w:val="20"/>
                          <w:szCs w:val="20"/>
                          <w:lang w:val="en-GB"/>
                        </w:rPr>
                        <w:t xml:space="preserve">says the New Town Hall director </w:t>
                      </w:r>
                      <w:r w:rsidRPr="006A425B">
                        <w:rPr>
                          <w:rFonts w:ascii="Sitka Small" w:hAnsi="Sitka Small"/>
                          <w:b/>
                          <w:sz w:val="20"/>
                          <w:szCs w:val="20"/>
                          <w:lang w:val="en-GB"/>
                        </w:rPr>
                        <w:t xml:space="preserve">Albert </w:t>
                      </w:r>
                      <w:proofErr w:type="spellStart"/>
                      <w:r w:rsidRPr="006A425B">
                        <w:rPr>
                          <w:rFonts w:ascii="Sitka Small" w:hAnsi="Sitka Small"/>
                          <w:b/>
                          <w:sz w:val="20"/>
                          <w:szCs w:val="20"/>
                          <w:lang w:val="en-GB"/>
                        </w:rPr>
                        <w:t>Kubišta</w:t>
                      </w:r>
                      <w:proofErr w:type="spellEnd"/>
                      <w:r w:rsidRPr="006A425B">
                        <w:rPr>
                          <w:rFonts w:ascii="Sitka Small" w:hAnsi="Sitka Small"/>
                          <w:sz w:val="20"/>
                          <w:szCs w:val="20"/>
                          <w:lang w:val="en-GB"/>
                        </w:rPr>
                        <w:t>.</w:t>
                      </w:r>
                    </w:p>
                    <w:p w:rsidR="00C46ADF" w:rsidRDefault="00C46ADF" w:rsidP="00845BE0">
                      <w:pPr>
                        <w:spacing w:line="276" w:lineRule="auto"/>
                        <w:rPr>
                          <w:rFonts w:ascii="Sitka Small" w:hAnsi="Sitka Small"/>
                          <w:b/>
                          <w:sz w:val="16"/>
                          <w:szCs w:val="16"/>
                          <w:lang w:val="en-GB"/>
                        </w:rPr>
                      </w:pPr>
                    </w:p>
                    <w:p w:rsidR="006A425B" w:rsidRDefault="006A425B" w:rsidP="00845BE0">
                      <w:pPr>
                        <w:spacing w:line="276" w:lineRule="auto"/>
                        <w:rPr>
                          <w:rFonts w:ascii="Sitka Small" w:hAnsi="Sitka Small"/>
                          <w:b/>
                          <w:sz w:val="16"/>
                          <w:szCs w:val="16"/>
                          <w:lang w:val="en-GB"/>
                        </w:rPr>
                      </w:pPr>
                    </w:p>
                    <w:p w:rsidR="006A425B" w:rsidRDefault="006A425B" w:rsidP="00845BE0">
                      <w:pPr>
                        <w:spacing w:line="276" w:lineRule="auto"/>
                        <w:rPr>
                          <w:rFonts w:ascii="Sitka Small" w:hAnsi="Sitka Small"/>
                          <w:b/>
                          <w:sz w:val="16"/>
                          <w:szCs w:val="16"/>
                          <w:lang w:val="en-GB"/>
                        </w:rPr>
                      </w:pPr>
                    </w:p>
                    <w:p w:rsidR="006A425B" w:rsidRDefault="006A425B" w:rsidP="00845BE0">
                      <w:pPr>
                        <w:spacing w:line="276" w:lineRule="auto"/>
                        <w:rPr>
                          <w:rFonts w:ascii="Sitka Small" w:hAnsi="Sitka Small"/>
                          <w:b/>
                          <w:sz w:val="16"/>
                          <w:szCs w:val="16"/>
                          <w:lang w:val="en-GB"/>
                        </w:rPr>
                      </w:pPr>
                    </w:p>
                    <w:p w:rsidR="006A425B" w:rsidRPr="00E762BF" w:rsidRDefault="006A425B"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bookmarkStart w:id="0" w:name="_GoBack"/>
    </w:p>
    <w:bookmarkEnd w:id="0"/>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8"/>
      <w:footerReference w:type="default" r:id="rId9"/>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92" w:rsidRDefault="00424692">
      <w:r>
        <w:separator/>
      </w:r>
    </w:p>
  </w:endnote>
  <w:endnote w:type="continuationSeparator" w:id="0">
    <w:p w:rsidR="00424692" w:rsidRDefault="004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92" w:rsidRDefault="00424692">
      <w:r>
        <w:separator/>
      </w:r>
    </w:p>
  </w:footnote>
  <w:footnote w:type="continuationSeparator" w:id="0">
    <w:p w:rsidR="00424692" w:rsidRDefault="0042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93CE8"/>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24692"/>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575F7"/>
    <w:rsid w:val="00662BE5"/>
    <w:rsid w:val="006861B7"/>
    <w:rsid w:val="006957D7"/>
    <w:rsid w:val="00697C06"/>
    <w:rsid w:val="006A425B"/>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A9F0C"/>
  <w15:docId w15:val="{FE70461B-71CA-4423-92DD-1CB582E6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4E6C-5BD4-4627-BBB0-C9A6825F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2019-03-14T10:48:00Z</dcterms:created>
  <dcterms:modified xsi:type="dcterms:W3CDTF">2019-03-14T10:48:00Z</dcterms:modified>
</cp:coreProperties>
</file>