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3F41B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</w:t>
                            </w:r>
                            <w:r w:rsidR="00884063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5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57687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</w:t>
                            </w:r>
                            <w:r w:rsidR="00557687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3F41B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</w:t>
                      </w:r>
                      <w:r w:rsidR="00884063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5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="00557687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</w:t>
                      </w:r>
                      <w:r w:rsidR="00557687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1BD" w:rsidRPr="00574228" w:rsidRDefault="003F41BD" w:rsidP="003F41BD">
                            <w:pPr>
                              <w:spacing w:after="225" w:line="276" w:lineRule="auto"/>
                              <w:outlineLvl w:val="0"/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574228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 xml:space="preserve">Na Velikonoce do Prahy přijede 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3</w:t>
                            </w:r>
                            <w:r w:rsidR="00557687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2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0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 xml:space="preserve">.000 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kern w:val="36"/>
                                <w:sz w:val="22"/>
                                <w:szCs w:val="22"/>
                              </w:rPr>
                              <w:t>návštěvníků</w:t>
                            </w:r>
                          </w:p>
                          <w:p w:rsidR="00557687" w:rsidRPr="00557687" w:rsidRDefault="003F41BD" w:rsidP="003F41BD">
                            <w:pPr>
                              <w:spacing w:after="225"/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Během dvou velikonočních týdnů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 očeká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vá Prague City </w:t>
                            </w:r>
                            <w:proofErr w:type="spellStart"/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 zhruba 2</w:t>
                            </w:r>
                            <w:r w:rsidR="00557687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574228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0.000 zahran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ičních návštěvníků a přibližně </w:t>
                            </w:r>
                            <w:r w:rsidR="00557687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0.000 domácích turistů, </w:t>
                            </w:r>
                            <w:r w:rsidR="00EB4721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téměř</w:t>
                            </w:r>
                            <w:bookmarkStart w:id="0" w:name="_GoBack"/>
                            <w:bookmarkEnd w:id="0"/>
                            <w:r w:rsidRPr="003F41BD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 xml:space="preserve"> stejné množství Čechů do Prahy přijede na jednodenní výlet.</w:t>
                            </w:r>
                          </w:p>
                          <w:p w:rsidR="00557687" w:rsidRDefault="009F7C20" w:rsidP="003F41BD">
                            <w:pPr>
                              <w:spacing w:after="225" w:line="276" w:lineRule="auto"/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„Vzhledem k tomu, že letos katolické a pravoslavné Velikonoce opět připadají na různá data, návštěvnost se rozloží do dvou týdnů. Očekáváme, že v tomto období Prahu navštíví o 7 % více hostů než v loňském roce. Těšit se mohou na tradiční Velikonoční trhy i mnoho dalších akcí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7E782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7E782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by se v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 </w:t>
                            </w:r>
                            <w:r w:rsidR="007E782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nabídce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7E782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 xml:space="preserve">nejen návštěvníci, lépe vyznali spustili jsme speciální web </w:t>
                            </w:r>
                            <w:hyperlink r:id="rId8" w:history="1">
                              <w:r w:rsidR="00884063" w:rsidRPr="004B56BC">
                                <w:rPr>
                                  <w:rStyle w:val="Hypertextovodkaz"/>
                                  <w:rFonts w:ascii="Sitka Small" w:hAnsi="Sitka Small" w:cs="Arial"/>
                                  <w:i/>
                                  <w:sz w:val="20"/>
                                  <w:szCs w:val="20"/>
                                </w:rPr>
                                <w:t>www.prague.eu/velikonoce</w:t>
                              </w:r>
                            </w:hyperlink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 xml:space="preserve">, kde najdou spoustu tipů i zajímavé články,“ </w:t>
                            </w:r>
                            <w:r w:rsidR="00884063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říká tisková mluvčí Prague City </w:t>
                            </w:r>
                            <w:proofErr w:type="spellStart"/>
                            <w:r w:rsidR="00884063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Tourism</w:t>
                            </w:r>
                            <w:proofErr w:type="spellEnd"/>
                            <w:r w:rsidR="00884063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063"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Barbora Hrubá</w:t>
                            </w:r>
                            <w:r w:rsidR="00884063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84063">
                              <w:rPr>
                                <w:rFonts w:ascii="Sitka Small" w:hAnsi="Sitka Smal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F41BD" w:rsidRPr="00574228" w:rsidRDefault="003F41BD" w:rsidP="003F41BD">
                            <w:pPr>
                              <w:spacing w:after="225" w:line="276" w:lineRule="auto"/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</w:pP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Turisté, kteří Prahu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kolem Velikonoc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navštěvují, jsou povětšinou Evropané, jejich podíl činí dlouhodobě zhruba 70 %. S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 oblibou přijíždějí hosté ze sousedních zemí</w:t>
                            </w:r>
                            <w:r w:rsidR="0092298E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Německa, Slovenska, Polska i Rakouska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, očekáváme rovněž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taly, Brity, Španěly, Francouze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a počítáme se zvýšenou návštěvností z Finska a Skandinávie. </w:t>
                            </w:r>
                            <w:r w:rsidR="00557687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V uplynulém roce jsme zaznamenali téměř 50 % nárůst počtu návštěvníků z Ukrajiny, můžeme předpokládat, že tento trend bude pokračovat i nadále. 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Z mimoevropských zemí </w:t>
                            </w:r>
                            <w:r w:rsidRPr="003F41BD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>očekáváme větší množství</w:t>
                            </w:r>
                            <w:r w:rsidRPr="00574228">
                              <w:rPr>
                                <w:rFonts w:ascii="Sitka Small" w:hAnsi="Sitka Small" w:cs="Arial"/>
                                <w:sz w:val="20"/>
                                <w:szCs w:val="20"/>
                              </w:rPr>
                              <w:t xml:space="preserve"> návštěvníků pouze ze Spojených států amerických.</w:t>
                            </w: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41BD" w:rsidRDefault="003F41BD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687" w:rsidRDefault="0055768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687" w:rsidRDefault="0055768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687" w:rsidRDefault="0055768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57687" w:rsidRDefault="00557687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0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3F41BD" w:rsidRPr="00574228" w:rsidRDefault="003F41BD" w:rsidP="003F41BD">
                      <w:pPr>
                        <w:spacing w:after="225" w:line="276" w:lineRule="auto"/>
                        <w:outlineLvl w:val="0"/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</w:pPr>
                      <w:r w:rsidRPr="00574228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 xml:space="preserve">Na Velikonoce do Prahy přijede </w:t>
                      </w:r>
                      <w:r w:rsidRPr="003F41BD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3</w:t>
                      </w:r>
                      <w:r w:rsidR="00557687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2</w:t>
                      </w:r>
                      <w:r w:rsidRPr="003F41BD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0</w:t>
                      </w:r>
                      <w:r w:rsidRPr="00574228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 xml:space="preserve">.000 </w:t>
                      </w:r>
                      <w:r w:rsidRPr="003F41BD">
                        <w:rPr>
                          <w:rFonts w:ascii="Sitka Small" w:hAnsi="Sitka Small" w:cs="Arial"/>
                          <w:b/>
                          <w:kern w:val="36"/>
                          <w:sz w:val="22"/>
                          <w:szCs w:val="22"/>
                        </w:rPr>
                        <w:t>návštěvníků</w:t>
                      </w:r>
                    </w:p>
                    <w:p w:rsidR="00557687" w:rsidRPr="00557687" w:rsidRDefault="003F41BD" w:rsidP="003F41BD">
                      <w:pPr>
                        <w:spacing w:after="225"/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</w:pP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Během dvou velikonočních týdnů</w:t>
                      </w:r>
                      <w:r w:rsidRPr="00574228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 očeká</w:t>
                      </w: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vá Prague City </w:t>
                      </w:r>
                      <w:proofErr w:type="spellStart"/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 zhruba 2</w:t>
                      </w:r>
                      <w:r w:rsidR="00557687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574228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0.000 zahran</w:t>
                      </w: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ičních návštěvníků a přibližně </w:t>
                      </w:r>
                      <w:r w:rsidR="00557687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0.000 domácích turistů, </w:t>
                      </w:r>
                      <w:r w:rsidR="00EB4721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téměř</w:t>
                      </w:r>
                      <w:bookmarkStart w:id="1" w:name="_GoBack"/>
                      <w:bookmarkEnd w:id="1"/>
                      <w:r w:rsidRPr="003F41BD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 xml:space="preserve"> stejné množství Čechů do Prahy přijede na jednodenní výlet.</w:t>
                      </w:r>
                    </w:p>
                    <w:p w:rsidR="00557687" w:rsidRDefault="009F7C20" w:rsidP="003F41BD">
                      <w:pPr>
                        <w:spacing w:after="225" w:line="276" w:lineRule="auto"/>
                        <w:rPr>
                          <w:rFonts w:ascii="Sitka Small" w:hAnsi="Sitka Smal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„Vzhledem k tomu, že letos katolické a pravoslavné Velikonoce opět připadají na různá data, návštěvnost se rozloží do dvou týdnů. Očekáváme, že v tomto období Prahu navštíví o 7 % více hostů než v loňském roce. Těšit se mohou na tradiční Velikonoční trhy i mnoho dalších akcí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7E782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A</w:t>
                      </w:r>
                      <w:r w:rsidR="007E782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by se v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 </w:t>
                      </w:r>
                      <w:r w:rsidR="007E782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nabídce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7E782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 xml:space="preserve">nejen návštěvníci, lépe vyznali spustili jsme speciální web </w:t>
                      </w:r>
                      <w:hyperlink r:id="rId9" w:history="1">
                        <w:r w:rsidR="00884063" w:rsidRPr="004B56BC">
                          <w:rPr>
                            <w:rStyle w:val="Hypertextovodkaz"/>
                            <w:rFonts w:ascii="Sitka Small" w:hAnsi="Sitka Small" w:cs="Arial"/>
                            <w:i/>
                            <w:sz w:val="20"/>
                            <w:szCs w:val="20"/>
                          </w:rPr>
                          <w:t>www.prague.eu/velikonoce</w:t>
                        </w:r>
                      </w:hyperlink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 xml:space="preserve">, kde najdou spoustu tipů i zajímavé články,“ </w:t>
                      </w:r>
                      <w:r w:rsidR="00884063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říká tisková mluvčí Prague City </w:t>
                      </w:r>
                      <w:proofErr w:type="spellStart"/>
                      <w:r w:rsidR="00884063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Tourism</w:t>
                      </w:r>
                      <w:proofErr w:type="spellEnd"/>
                      <w:r w:rsidR="00884063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</w:t>
                      </w:r>
                      <w:r w:rsidR="00884063"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Barbora Hrubá</w:t>
                      </w:r>
                      <w:r w:rsidR="00884063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. </w:t>
                      </w:r>
                      <w:r w:rsidR="00884063">
                        <w:rPr>
                          <w:rFonts w:ascii="Sitka Small" w:hAnsi="Sitka Smal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F41BD" w:rsidRPr="00574228" w:rsidRDefault="003F41BD" w:rsidP="003F41BD">
                      <w:pPr>
                        <w:spacing w:after="225" w:line="276" w:lineRule="auto"/>
                        <w:rPr>
                          <w:rFonts w:ascii="Sitka Small" w:hAnsi="Sitka Small" w:cs="Arial"/>
                          <w:sz w:val="20"/>
                          <w:szCs w:val="20"/>
                        </w:rPr>
                      </w:pP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Turisté, kteří Prahu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kolem Velikonoc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navštěvují, jsou povětšinou Evropané, jejich podíl činí dlouhodobě zhruba 70 %. S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 oblibou přijíždějí hosté ze sousedních zemí</w:t>
                      </w:r>
                      <w:r w:rsidR="0092298E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-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Německa, Slovenska, Polska i Rakouska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, očekáváme rovněž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I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taly, Brity, Španěly, Francouze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a počítáme se zvýšenou návštěvností z Finska a Skandinávie. </w:t>
                      </w:r>
                      <w:r w:rsidR="00557687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V uplynulém roce jsme zaznamenali téměř 50 % nárůst počtu návštěvníků z Ukrajiny, můžeme předpokládat, že tento trend bude pokračovat i nadále. 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Z mimoevropských zemí </w:t>
                      </w:r>
                      <w:r w:rsidRPr="003F41BD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>očekáváme větší množství</w:t>
                      </w:r>
                      <w:r w:rsidRPr="00574228">
                        <w:rPr>
                          <w:rFonts w:ascii="Sitka Small" w:hAnsi="Sitka Small" w:cs="Arial"/>
                          <w:sz w:val="20"/>
                          <w:szCs w:val="20"/>
                        </w:rPr>
                        <w:t xml:space="preserve"> návštěvníků pouze ze Spojených států amerických.</w:t>
                      </w: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3F41BD" w:rsidRDefault="003F41BD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57687" w:rsidRDefault="0055768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57687" w:rsidRDefault="0055768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57687" w:rsidRDefault="0055768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557687" w:rsidRDefault="00557687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10"/>
      <w:footerReference w:type="default" r:id="rId11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AD" w:rsidRDefault="00290CAD">
      <w:r>
        <w:separator/>
      </w:r>
    </w:p>
  </w:endnote>
  <w:endnote w:type="continuationSeparator" w:id="0">
    <w:p w:rsidR="00290CAD" w:rsidRDefault="002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AD" w:rsidRDefault="00290CAD">
      <w:r>
        <w:separator/>
      </w:r>
    </w:p>
  </w:footnote>
  <w:footnote w:type="continuationSeparator" w:id="0">
    <w:p w:rsidR="00290CAD" w:rsidRDefault="0029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0CAD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565D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41BD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56B92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03BF7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3765A"/>
    <w:rsid w:val="00555A24"/>
    <w:rsid w:val="00557687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E7823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84063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2298E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9F7C20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DF4662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4721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02E2"/>
    <w:rsid w:val="00FD73D8"/>
    <w:rsid w:val="00FE0879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8F0C3"/>
  <w15:docId w15:val="{14D8C963-A043-4398-8528-C4C3713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paragraph" w:styleId="Normlnweb">
    <w:name w:val="Normal (Web)"/>
    <w:basedOn w:val="Normln"/>
    <w:uiPriority w:val="99"/>
    <w:unhideWhenUsed/>
    <w:rsid w:val="00FE0879"/>
    <w:pPr>
      <w:autoSpaceDE/>
      <w:autoSpaceDN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884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.eu/velikono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gue.eu/velikono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46E3-CE06-4AEF-8EE2-608755E0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2019-04-15T15:13:00Z</dcterms:created>
  <dcterms:modified xsi:type="dcterms:W3CDTF">2019-04-15T15:15:00Z</dcterms:modified>
</cp:coreProperties>
</file>